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80" w:rsidRPr="00CB3C26" w:rsidRDefault="00C12880" w:rsidP="00C12880">
      <w:pPr>
        <w:tabs>
          <w:tab w:val="left" w:pos="360"/>
        </w:tabs>
        <w:ind w:left="360" w:hanging="36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Check-Out</w:t>
      </w:r>
    </w:p>
    <w:p w:rsidR="00C12880" w:rsidRPr="00C12880" w:rsidRDefault="00C12880" w:rsidP="00C12880">
      <w:pPr>
        <w:tabs>
          <w:tab w:val="left" w:pos="360"/>
        </w:tabs>
        <w:rPr>
          <w:rFonts w:asciiTheme="minorHAnsi" w:hAnsiTheme="minorHAnsi" w:cs="Arial"/>
          <w:sz w:val="14"/>
        </w:rPr>
      </w:pPr>
    </w:p>
    <w:tbl>
      <w:tblPr>
        <w:tblStyle w:val="Tabellenraster"/>
        <w:tblW w:w="8897" w:type="dxa"/>
        <w:tblLook w:val="04A0" w:firstRow="1" w:lastRow="0" w:firstColumn="1" w:lastColumn="0" w:noHBand="0" w:noVBand="1"/>
      </w:tblPr>
      <w:tblGrid>
        <w:gridCol w:w="6032"/>
        <w:gridCol w:w="1306"/>
        <w:gridCol w:w="1559"/>
      </w:tblGrid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Kann ich</w:t>
            </w: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Kann ich nicht</w:t>
            </w: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Pr="00083914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 w:rsidRPr="00083914">
              <w:rPr>
                <w:rFonts w:asciiTheme="minorHAnsi" w:hAnsiTheme="minorHAnsi" w:cs="Arial"/>
                <w:sz w:val="20"/>
                <w:szCs w:val="20"/>
              </w:rPr>
              <w:t>Ich kann einfache Wahrscheinlichkeiten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den Unterschied zwischen einem Ergebnis und einem Ereignis erklären.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ein möglichst einfaches Baumdiagramm passend zur Au</w:t>
            </w:r>
            <w:r>
              <w:rPr>
                <w:rFonts w:asciiTheme="minorHAnsi" w:hAnsiTheme="minorHAnsi" w:cs="Arial"/>
                <w:sz w:val="20"/>
                <w:szCs w:val="20"/>
              </w:rPr>
              <w:t>f</w:t>
            </w:r>
            <w:r>
              <w:rPr>
                <w:rFonts w:asciiTheme="minorHAnsi" w:hAnsiTheme="minorHAnsi" w:cs="Arial"/>
                <w:sz w:val="20"/>
                <w:szCs w:val="20"/>
              </w:rPr>
              <w:t>gabe erstellen.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Pr="00CB3C26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Wahrscheinlichkeiten mit Hilfe des Gegenereignisses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Wahrscheinlichkeiten bei mehrstufigen Zufallsexperime</w:t>
            </w:r>
            <w:r>
              <w:rPr>
                <w:rFonts w:asciiTheme="minorHAnsi" w:hAnsiTheme="minorHAnsi" w:cs="Arial"/>
                <w:sz w:val="20"/>
                <w:szCs w:val="20"/>
              </w:rPr>
              <w:t>n</w:t>
            </w:r>
            <w:r>
              <w:rPr>
                <w:rFonts w:asciiTheme="minorHAnsi" w:hAnsiTheme="minorHAnsi" w:cs="Arial"/>
                <w:sz w:val="20"/>
                <w:szCs w:val="20"/>
              </w:rPr>
              <w:t>ten mit Hilfe der Pfadregeln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Wahrscheinlichkeiten mit Hilfe des Additionssatzes b</w:t>
            </w:r>
            <w:r>
              <w:rPr>
                <w:rFonts w:asciiTheme="minorHAnsi" w:hAnsiTheme="minorHAnsi" w:cs="Arial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sz w:val="20"/>
                <w:szCs w:val="20"/>
              </w:rPr>
              <w:t>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in einer Aufgabe erkennen, dass die bedingte Wah</w:t>
            </w: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>
              <w:rPr>
                <w:rFonts w:asciiTheme="minorHAnsi" w:hAnsiTheme="minorHAnsi" w:cs="Arial"/>
                <w:sz w:val="20"/>
                <w:szCs w:val="20"/>
              </w:rPr>
              <w:t>scheinlichkeit gesucht ist.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Drei-Mindestens-Aufgaben erkennen und lösen.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Ich kann eine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Vierfeldertafel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 ausfüllen.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Ich kann anhand einer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Vierfeldertafel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 ein zugehöriges Baumdi</w:t>
            </w: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sz w:val="20"/>
                <w:szCs w:val="20"/>
              </w:rPr>
              <w:t>gramm erstellen.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Ich kann die stochastische Unabhängigkeit in einer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Vierfeldertafel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 erkennen.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die stochastische Unabhängigkeit in einem Baumdi</w:t>
            </w: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sz w:val="20"/>
                <w:szCs w:val="20"/>
              </w:rPr>
              <w:t>gramm erkennen.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den Unterschied zwischen einer Permutation und einer Kombination erklären.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die Anzahl der Möglichkeiten bei einer geordneten Stic</w:t>
            </w:r>
            <w:r>
              <w:rPr>
                <w:rFonts w:asciiTheme="minorHAnsi" w:hAnsiTheme="minorHAnsi" w:cs="Arial"/>
                <w:sz w:val="20"/>
                <w:szCs w:val="20"/>
              </w:rPr>
              <w:t>h</w:t>
            </w:r>
            <w:r>
              <w:rPr>
                <w:rFonts w:asciiTheme="minorHAnsi" w:hAnsiTheme="minorHAnsi" w:cs="Arial"/>
                <w:sz w:val="20"/>
                <w:szCs w:val="20"/>
              </w:rPr>
              <w:t>probe ohne Zurücklegen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die Anzahl der Möglichkeiten bei einer ungeordneten Stichprobe ohne Zurücklegen (Ziehung mit einem Griff)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die Anzahl der Möglichkeiten bei einer geordneten Stic</w:t>
            </w:r>
            <w:r>
              <w:rPr>
                <w:rFonts w:asciiTheme="minorHAnsi" w:hAnsiTheme="minorHAnsi" w:cs="Arial"/>
                <w:sz w:val="20"/>
                <w:szCs w:val="20"/>
              </w:rPr>
              <w:t>h</w:t>
            </w:r>
            <w:r>
              <w:rPr>
                <w:rFonts w:asciiTheme="minorHAnsi" w:hAnsiTheme="minorHAnsi" w:cs="Arial"/>
                <w:sz w:val="20"/>
                <w:szCs w:val="20"/>
              </w:rPr>
              <w:t>probe mit Zurücklegen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zu einer Aufgabenstellung ein passendes Urnenmodell finden.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den Begriff der Zufallsvariable erklären.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den Begriff der Wahrscheinlichkeitsfunktion erklären.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eine Zufallsvariable passend zur Aufgabenstellung defini</w:t>
            </w:r>
            <w:r>
              <w:rPr>
                <w:rFonts w:asciiTheme="minorHAnsi" w:hAnsiTheme="minorHAnsi" w:cs="Arial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sz w:val="20"/>
                <w:szCs w:val="20"/>
              </w:rPr>
              <w:t>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Ich kann den Erwartungswert einer 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Zufallsvariablen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berechnen.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Ich kann den Erwartungswert einer 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Zufallsvariablen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interpretieren.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  <w:tr w:rsidR="00C12880" w:rsidRPr="00CB3C26" w:rsidTr="00C12880">
        <w:trPr>
          <w:trHeight w:val="454"/>
        </w:trPr>
        <w:tc>
          <w:tcPr>
            <w:tcW w:w="6032" w:type="dxa"/>
            <w:vAlign w:val="center"/>
          </w:tcPr>
          <w:p w:rsidR="00C12880" w:rsidRDefault="00C12880" w:rsidP="00C12880">
            <w:pPr>
              <w:pStyle w:val="Listenabsatz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Ich kann an dem Erwartungswert erkennen, ob ein Spiel fair ist.</w:t>
            </w:r>
          </w:p>
        </w:tc>
        <w:tc>
          <w:tcPr>
            <w:tcW w:w="1306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12880" w:rsidRPr="00CB3C26" w:rsidRDefault="00C12880" w:rsidP="00DE2228">
            <w:pPr>
              <w:tabs>
                <w:tab w:val="left" w:pos="360"/>
              </w:tabs>
              <w:rPr>
                <w:rFonts w:cs="Arial"/>
                <w:sz w:val="20"/>
              </w:rPr>
            </w:pPr>
          </w:p>
        </w:tc>
      </w:tr>
    </w:tbl>
    <w:p w:rsidR="00B84D7E" w:rsidRPr="00C12880" w:rsidRDefault="00B84D7E" w:rsidP="00C12880">
      <w:pPr>
        <w:pStyle w:val="Kopfzeile"/>
        <w:rPr>
          <w:rFonts w:asciiTheme="minorHAnsi" w:hAnsiTheme="minorHAnsi" w:cstheme="minorHAnsi"/>
          <w:sz w:val="8"/>
          <w:szCs w:val="24"/>
        </w:rPr>
      </w:pPr>
    </w:p>
    <w:sectPr w:rsidR="00B84D7E" w:rsidRPr="00C12880" w:rsidSect="00F66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0F" w:rsidRDefault="00006F0F" w:rsidP="001E03DE">
      <w:r>
        <w:separator/>
      </w:r>
    </w:p>
  </w:endnote>
  <w:endnote w:type="continuationSeparator" w:id="0">
    <w:p w:rsidR="00006F0F" w:rsidRDefault="00006F0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B79" w:rsidRDefault="00431B7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431B79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431B79" w:rsidP="00DE2228">
          <w:pPr>
            <w:pStyle w:val="Fuzeile"/>
          </w:pPr>
          <w:r>
            <w:t xml:space="preserve">Einstieg mit </w:t>
          </w:r>
          <w:r>
            <w:t>Stochastik</w:t>
          </w:r>
          <w:bookmarkStart w:id="0" w:name="_GoBack"/>
          <w:bookmarkEnd w:id="0"/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31B7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0F" w:rsidRDefault="00006F0F" w:rsidP="001E03DE">
      <w:r>
        <w:separator/>
      </w:r>
    </w:p>
  </w:footnote>
  <w:footnote w:type="continuationSeparator" w:id="0">
    <w:p w:rsidR="00006F0F" w:rsidRDefault="00006F0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B79" w:rsidRDefault="00431B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04AB59A" wp14:editId="7D25BE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F98C63" wp14:editId="1F8B6F5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89362C"/>
    <w:multiLevelType w:val="hybridMultilevel"/>
    <w:tmpl w:val="4426C77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F837DF"/>
    <w:multiLevelType w:val="hybridMultilevel"/>
    <w:tmpl w:val="4B149B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8"/>
  </w:num>
  <w:num w:numId="21">
    <w:abstractNumId w:val="1"/>
  </w:num>
  <w:num w:numId="22">
    <w:abstractNumId w:val="13"/>
  </w:num>
  <w:num w:numId="23">
    <w:abstractNumId w:val="5"/>
  </w:num>
  <w:num w:numId="24">
    <w:abstractNumId w:val="6"/>
  </w:num>
  <w:num w:numId="25">
    <w:abstractNumId w:val="2"/>
  </w:num>
  <w:num w:numId="26">
    <w:abstractNumId w:val="14"/>
  </w:num>
  <w:num w:numId="27">
    <w:abstractNumId w:val="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06F0F"/>
    <w:rsid w:val="00155665"/>
    <w:rsid w:val="001A2103"/>
    <w:rsid w:val="001E03DE"/>
    <w:rsid w:val="001E0F2D"/>
    <w:rsid w:val="00220400"/>
    <w:rsid w:val="002223B8"/>
    <w:rsid w:val="00296589"/>
    <w:rsid w:val="003E7D25"/>
    <w:rsid w:val="00431B79"/>
    <w:rsid w:val="00445B6B"/>
    <w:rsid w:val="0044650F"/>
    <w:rsid w:val="005E69BD"/>
    <w:rsid w:val="008A6B36"/>
    <w:rsid w:val="008A7911"/>
    <w:rsid w:val="009533B3"/>
    <w:rsid w:val="009935DA"/>
    <w:rsid w:val="009C05F9"/>
    <w:rsid w:val="00B127D0"/>
    <w:rsid w:val="00B84D7E"/>
    <w:rsid w:val="00C1176F"/>
    <w:rsid w:val="00C12880"/>
    <w:rsid w:val="00C22DA6"/>
    <w:rsid w:val="00C302FA"/>
    <w:rsid w:val="00C329C9"/>
    <w:rsid w:val="00CA4381"/>
    <w:rsid w:val="00CD6932"/>
    <w:rsid w:val="00D51DCF"/>
    <w:rsid w:val="00D6115F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C12880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C12880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BEC7-C9AE-4F57-A830-C6252BF7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3</cp:revision>
  <cp:lastPrinted>2017-10-16T07:58:00Z</cp:lastPrinted>
  <dcterms:created xsi:type="dcterms:W3CDTF">2017-10-15T15:54:00Z</dcterms:created>
  <dcterms:modified xsi:type="dcterms:W3CDTF">2017-10-16T07:58:00Z</dcterms:modified>
</cp:coreProperties>
</file>